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95" w:rsidRDefault="00297895" w:rsidP="00297895">
      <w:pPr>
        <w:pStyle w:val="af8"/>
        <w:jc w:val="center"/>
        <w:rPr>
          <w:rFonts w:ascii="Tinos" w:eastAsia="Tinos" w:hAnsi="Tinos" w:cs="Tinos"/>
          <w:color w:val="222222"/>
          <w:sz w:val="28"/>
          <w:szCs w:val="28"/>
        </w:rPr>
      </w:pPr>
    </w:p>
    <w:p w:rsidR="00297895" w:rsidRDefault="00297895" w:rsidP="00297895">
      <w:pPr>
        <w:pStyle w:val="af8"/>
        <w:jc w:val="center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 wp14:anchorId="4D9A3631" wp14:editId="301DD017">
            <wp:extent cx="5086316" cy="2880000"/>
            <wp:effectExtent l="0" t="0" r="635" b="0"/>
            <wp:docPr id="4" name="Рисунок 4" descr="C:\Users\Лысенко\Desktop\Для размещения\Росреестр\07_выездно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сенко\Desktop\Для размещения\Росреестр\07_выездное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1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95" w:rsidRDefault="00297895" w:rsidP="00297895">
      <w:pPr>
        <w:pStyle w:val="af8"/>
        <w:jc w:val="center"/>
        <w:rPr>
          <w:rFonts w:ascii="Tinos" w:eastAsia="Tinos" w:hAnsi="Tinos" w:cs="Tinos"/>
          <w:color w:val="222222"/>
          <w:sz w:val="28"/>
          <w:szCs w:val="28"/>
        </w:rPr>
      </w:pPr>
    </w:p>
    <w:p w:rsidR="00297895" w:rsidRDefault="00297895" w:rsidP="002978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 wp14:anchorId="473E26DC" wp14:editId="36658E87">
            <wp:extent cx="4541828" cy="2880000"/>
            <wp:effectExtent l="0" t="0" r="0" b="0"/>
            <wp:docPr id="3" name="Рисунок 3" descr="C:\Users\Лысенко\Desktop\Для размещения\Росреестр\07_выезд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7_выездно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82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7895" w:rsidRDefault="00297895" w:rsidP="002978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7895" w:rsidRDefault="00297895" w:rsidP="002978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 wp14:anchorId="7119AB41" wp14:editId="00CBD122">
            <wp:extent cx="4035600" cy="2880000"/>
            <wp:effectExtent l="0" t="0" r="3175" b="0"/>
            <wp:docPr id="5" name="Рисунок 5" descr="C:\Users\Лысенко\Desktop\Для размещения\Росреестр\07_выездно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ысенко\Desktop\Для размещения\Росреестр\07_выездное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286" w:rsidRDefault="002E533C">
      <w:pPr>
        <w:pStyle w:val="af8"/>
        <w:spacing w:line="360" w:lineRule="auto"/>
        <w:ind w:firstLine="708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nos" w:eastAsia="Tinos" w:hAnsi="Tinos" w:cs="Tinos"/>
          <w:color w:val="222222"/>
          <w:sz w:val="28"/>
          <w:szCs w:val="28"/>
        </w:rPr>
        <w:t xml:space="preserve">                         </w:t>
      </w:r>
      <w:r>
        <w:rPr>
          <w:rFonts w:ascii="Tinos" w:eastAsia="Tinos" w:hAnsi="Tinos" w:cs="Tinos"/>
          <w:b/>
          <w:bCs/>
          <w:color w:val="222222"/>
          <w:sz w:val="28"/>
          <w:szCs w:val="28"/>
        </w:rPr>
        <w:t>06.10.2025</w:t>
      </w:r>
    </w:p>
    <w:p w:rsidR="00297895" w:rsidRDefault="00297895" w:rsidP="00297895">
      <w:pPr>
        <w:pStyle w:val="af8"/>
        <w:ind w:firstLine="709"/>
        <w:jc w:val="center"/>
        <w:rPr>
          <w:rFonts w:ascii="Tinos" w:eastAsia="Tinos" w:hAnsi="Tinos" w:cs="Tinos"/>
          <w:b/>
          <w:bCs/>
          <w:color w:val="222222"/>
          <w:sz w:val="28"/>
          <w:szCs w:val="28"/>
        </w:rPr>
      </w:pPr>
    </w:p>
    <w:p w:rsidR="007A1286" w:rsidRDefault="002E533C" w:rsidP="00297895">
      <w:pPr>
        <w:pStyle w:val="af8"/>
        <w:ind w:firstLine="709"/>
        <w:jc w:val="center"/>
        <w:rPr>
          <w:rFonts w:ascii="Tinos" w:eastAsia="Tinos" w:hAnsi="Tinos" w:cs="Tinos"/>
          <w:b/>
          <w:bCs/>
          <w:color w:val="222222"/>
          <w:sz w:val="28"/>
          <w:szCs w:val="28"/>
        </w:rPr>
      </w:pPr>
      <w:proofErr w:type="gramStart"/>
      <w:r>
        <w:rPr>
          <w:rFonts w:ascii="Tinos" w:eastAsia="Tinos" w:hAnsi="Tinos" w:cs="Tinos"/>
          <w:b/>
          <w:bCs/>
          <w:color w:val="222222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color w:val="222222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color w:val="222222"/>
          <w:sz w:val="28"/>
          <w:szCs w:val="28"/>
        </w:rPr>
        <w:t xml:space="preserve"> продолжает серию </w:t>
      </w:r>
    </w:p>
    <w:p w:rsidR="007A1286" w:rsidRDefault="002E533C" w:rsidP="00297895">
      <w:pPr>
        <w:pStyle w:val="af8"/>
        <w:spacing w:after="120" w:line="312" w:lineRule="auto"/>
        <w:ind w:firstLine="709"/>
        <w:jc w:val="center"/>
        <w:rPr>
          <w:rFonts w:ascii="Tinos" w:eastAsia="Tinos" w:hAnsi="Tinos" w:cs="Tinos"/>
          <w:b/>
          <w:bCs/>
          <w:color w:val="222222"/>
          <w:sz w:val="28"/>
          <w:szCs w:val="28"/>
        </w:rPr>
      </w:pPr>
      <w:r>
        <w:rPr>
          <w:rFonts w:ascii="Tinos" w:eastAsia="Tinos" w:hAnsi="Tinos" w:cs="Tinos"/>
          <w:b/>
          <w:bCs/>
          <w:color w:val="222222"/>
          <w:sz w:val="28"/>
          <w:szCs w:val="28"/>
        </w:rPr>
        <w:t xml:space="preserve">выездных семинаров по региону </w:t>
      </w:r>
    </w:p>
    <w:p w:rsidR="007A1286" w:rsidRDefault="002E533C" w:rsidP="00297895">
      <w:pPr>
        <w:spacing w:after="0" w:line="300" w:lineRule="auto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</w:t>
      </w:r>
      <w:r>
        <w:rPr>
          <w:rFonts w:ascii="Tinos" w:hAnsi="Tinos" w:cs="Tinos"/>
          <w:sz w:val="28"/>
          <w:szCs w:val="28"/>
        </w:rPr>
        <w:t xml:space="preserve">рганы местного самоуправления и предпринимательское сообщество города Отрадного и </w:t>
      </w:r>
      <w:proofErr w:type="spellStart"/>
      <w:proofErr w:type="gramStart"/>
      <w:r>
        <w:rPr>
          <w:rFonts w:ascii="Tinos" w:hAnsi="Tinos" w:cs="Tinos"/>
          <w:sz w:val="28"/>
          <w:szCs w:val="28"/>
        </w:rPr>
        <w:t>Кинель</w:t>
      </w:r>
      <w:proofErr w:type="spellEnd"/>
      <w:r>
        <w:rPr>
          <w:rFonts w:ascii="Tinos" w:hAnsi="Tinos" w:cs="Tinos"/>
          <w:sz w:val="28"/>
          <w:szCs w:val="28"/>
        </w:rPr>
        <w:t>-Черкасского</w:t>
      </w:r>
      <w:proofErr w:type="gramEnd"/>
      <w:r>
        <w:rPr>
          <w:rFonts w:ascii="Tinos" w:hAnsi="Tinos" w:cs="Tinos"/>
          <w:sz w:val="28"/>
          <w:szCs w:val="28"/>
        </w:rPr>
        <w:t xml:space="preserve"> района встретились с рабочей группой по консультационно-</w:t>
      </w:r>
      <w:r>
        <w:rPr>
          <w:rFonts w:ascii="Tinos" w:eastAsia="Tinos" w:hAnsi="Tinos" w:cs="Tinos"/>
          <w:bCs/>
          <w:sz w:val="28"/>
          <w:szCs w:val="28"/>
        </w:rPr>
        <w:t xml:space="preserve">методологической поддержке, состоящей из </w:t>
      </w:r>
      <w:r>
        <w:rPr>
          <w:rFonts w:ascii="Tinos" w:hAnsi="Tinos" w:cs="Tinos"/>
          <w:sz w:val="28"/>
          <w:szCs w:val="28"/>
        </w:rPr>
        <w:t xml:space="preserve">представителей Министерства имущественных отношений, </w:t>
      </w:r>
      <w:r>
        <w:rPr>
          <w:rFonts w:ascii="Tinos" w:eastAsia="Tinos" w:hAnsi="Tinos" w:cs="Tinos"/>
          <w:color w:val="000000"/>
          <w:sz w:val="28"/>
          <w:szCs w:val="28"/>
        </w:rPr>
        <w:t>самар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ского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и УФНС России по Самарской области</w:t>
      </w:r>
      <w:r>
        <w:rPr>
          <w:rFonts w:ascii="Tinos" w:hAnsi="Tinos" w:cs="Tinos"/>
          <w:sz w:val="28"/>
          <w:szCs w:val="28"/>
        </w:rPr>
        <w:t xml:space="preserve">. На встречах были освещены вопросы действующего законодательства, затрагивающие, в том числе, деятельность юридических лиц. </w:t>
      </w:r>
    </w:p>
    <w:p w:rsidR="007A1286" w:rsidRDefault="002E533C" w:rsidP="00297895">
      <w:pPr>
        <w:spacing w:after="0" w:line="300" w:lineRule="auto"/>
        <w:ind w:firstLine="567"/>
        <w:contextualSpacing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>
        <w:rPr>
          <w:rFonts w:ascii="Tinos" w:eastAsia="Tinos" w:hAnsi="Tinos" w:cs="Tinos"/>
          <w:bCs/>
          <w:sz w:val="28"/>
          <w:szCs w:val="28"/>
        </w:rPr>
        <w:t xml:space="preserve">Спикером от 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Управления </w:t>
      </w:r>
      <w:proofErr w:type="spellStart"/>
      <w:r>
        <w:rPr>
          <w:rFonts w:ascii="Tinos" w:eastAsia="Tinos" w:hAnsi="Tinos" w:cs="Tinos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по Самарской области </w:t>
      </w:r>
      <w:r>
        <w:rPr>
          <w:rFonts w:ascii="Tinos" w:eastAsia="Tinos" w:hAnsi="Tinos" w:cs="Tinos"/>
          <w:bCs/>
          <w:sz w:val="28"/>
          <w:szCs w:val="28"/>
        </w:rPr>
        <w:t xml:space="preserve">выступил 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>начальник межм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униципального отдела по городу Отрадному, </w:t>
      </w:r>
      <w:proofErr w:type="spellStart"/>
      <w:r>
        <w:rPr>
          <w:rFonts w:ascii="Tinos" w:eastAsia="Tinos" w:hAnsi="Tinos" w:cs="Tinos"/>
          <w:sz w:val="28"/>
          <w:szCs w:val="28"/>
          <w:shd w:val="clear" w:color="auto" w:fill="FFFFFF"/>
        </w:rPr>
        <w:t>Богатовскому</w:t>
      </w:r>
      <w:proofErr w:type="spellEnd"/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и </w:t>
      </w:r>
      <w:proofErr w:type="spellStart"/>
      <w:proofErr w:type="gramStart"/>
      <w:r>
        <w:rPr>
          <w:rFonts w:ascii="Tinos" w:eastAsia="Tinos" w:hAnsi="Tinos" w:cs="Tinos"/>
          <w:sz w:val="28"/>
          <w:szCs w:val="28"/>
          <w:shd w:val="clear" w:color="auto" w:fill="FFFFFF"/>
        </w:rPr>
        <w:t>Кинель</w:t>
      </w:r>
      <w:proofErr w:type="spellEnd"/>
      <w:r>
        <w:rPr>
          <w:rFonts w:ascii="Tinos" w:eastAsia="Tinos" w:hAnsi="Tinos" w:cs="Tinos"/>
          <w:sz w:val="28"/>
          <w:szCs w:val="28"/>
          <w:shd w:val="clear" w:color="auto" w:fill="FFFFFF"/>
        </w:rPr>
        <w:t>-Черкасскому</w:t>
      </w:r>
      <w:proofErr w:type="gramEnd"/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районам </w:t>
      </w:r>
      <w:r>
        <w:rPr>
          <w:rFonts w:ascii="Tinos" w:eastAsia="Tinos" w:hAnsi="Tinos" w:cs="Tinos"/>
          <w:b/>
          <w:bCs/>
          <w:sz w:val="28"/>
          <w:szCs w:val="28"/>
          <w:shd w:val="clear" w:color="auto" w:fill="FFFFFF"/>
        </w:rPr>
        <w:t>Алексей Супиченко.</w:t>
      </w:r>
    </w:p>
    <w:p w:rsidR="007A1286" w:rsidRDefault="002E533C" w:rsidP="002978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uto"/>
        <w:ind w:firstLine="567"/>
        <w:contextualSpacing/>
        <w:jc w:val="both"/>
        <w:rPr>
          <w:rFonts w:ascii="Tinos" w:eastAsia="Tinos" w:hAnsi="Tinos" w:cs="Tinos"/>
          <w:b/>
          <w:bCs/>
          <w:sz w:val="26"/>
          <w:szCs w:val="26"/>
        </w:rPr>
      </w:pPr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Особый интерес вызвало обсуждение </w:t>
      </w:r>
      <w:hyperlink r:id="rId13" w:tooltip="http://publication.pravo.gov.ru/document/0001202506020049?ysclid=mdswxepsjy510352874" w:history="1">
        <w:r>
          <w:rPr>
            <w:rFonts w:ascii="Tinos" w:eastAsia="Tinos" w:hAnsi="Tinos" w:cs="Tinos"/>
            <w:sz w:val="28"/>
            <w:szCs w:val="28"/>
            <w:shd w:val="clear" w:color="auto" w:fill="FFFFFF"/>
          </w:rPr>
          <w:t>постановления Правительства РФ</w:t>
        </w:r>
      </w:hyperlink>
      <w:r>
        <w:rPr>
          <w:rFonts w:ascii="Tinos" w:eastAsia="Tinos" w:hAnsi="Tinos" w:cs="Tinos"/>
          <w:sz w:val="28"/>
          <w:szCs w:val="28"/>
          <w:shd w:val="clear" w:color="auto" w:fill="FFFFFF"/>
        </w:rPr>
        <w:t> № 826 от 31.05.2025, которым утверждён перечень признаков неиспользования земельных участков. Документ содержит критерии, которые позволят оценить, испол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ьзуются ли земельные участки </w:t>
      </w:r>
      <w:proofErr w:type="gramStart"/>
      <w:r>
        <w:rPr>
          <w:rFonts w:ascii="Tinos" w:eastAsia="Tinos" w:hAnsi="Tinos" w:cs="Tinos"/>
          <w:sz w:val="28"/>
          <w:szCs w:val="28"/>
          <w:shd w:val="clear" w:color="auto" w:fill="FFFFFF"/>
        </w:rPr>
        <w:t>в</w:t>
      </w:r>
      <w:proofErr w:type="gramEnd"/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nos" w:eastAsia="Tinos" w:hAnsi="Tinos" w:cs="Tinos"/>
          <w:sz w:val="28"/>
          <w:szCs w:val="28"/>
          <w:shd w:val="clear" w:color="auto" w:fill="FFFFFF"/>
        </w:rPr>
        <w:t>соответствии</w:t>
      </w:r>
      <w:proofErr w:type="gramEnd"/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с целевым назначением или нет. Данный перечень разработан в рамках реализации </w:t>
      </w:r>
      <w:hyperlink r:id="rId14" w:tooltip="https://rosreestr.gov.ru/press/archive/rosreestr-razyasnil-kak-budet-rabotat-zakon-ob-osvoenii-i-ispolzovanii-uchastkov/" w:history="1">
        <w:r>
          <w:rPr>
            <w:rFonts w:ascii="Tinos" w:eastAsia="Tinos" w:hAnsi="Tinos" w:cs="Tinos"/>
            <w:sz w:val="28"/>
            <w:szCs w:val="28"/>
            <w:shd w:val="clear" w:color="auto" w:fill="FFFFFF"/>
          </w:rPr>
          <w:t>Федерального закона № 307-ФЗ</w:t>
        </w:r>
      </w:hyperlink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, который вступил в силу с 1 марта 2025 года и </w:t>
      </w:r>
      <w:proofErr w:type="gramStart"/>
      <w:r>
        <w:rPr>
          <w:rFonts w:ascii="Tinos" w:eastAsia="Tinos" w:hAnsi="Tinos" w:cs="Tinos"/>
          <w:sz w:val="28"/>
          <w:szCs w:val="28"/>
          <w:shd w:val="clear" w:color="auto" w:fill="FFFFFF"/>
        </w:rPr>
        <w:t>определяет</w:t>
      </w:r>
      <w:proofErr w:type="gramEnd"/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в том числе трёхлетний срок для освоения 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земельных участков, расположенных в границах населенных пунктов, садовых и огородных земельных участков. </w:t>
      </w:r>
    </w:p>
    <w:p w:rsidR="007A1286" w:rsidRPr="00297895" w:rsidRDefault="002E533C" w:rsidP="00297895">
      <w:pPr>
        <w:spacing w:after="0" w:line="300" w:lineRule="auto"/>
        <w:ind w:firstLine="567"/>
        <w:contextualSpacing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После обзора законодательных изменений в сфере земли и недвижимости </w:t>
      </w:r>
      <w:r>
        <w:rPr>
          <w:rFonts w:ascii="Tinos" w:eastAsia="Tinos" w:hAnsi="Tinos" w:cs="Tinos"/>
          <w:b/>
          <w:bCs/>
          <w:sz w:val="28"/>
          <w:szCs w:val="28"/>
          <w:shd w:val="clear" w:color="auto" w:fill="FFFFFF"/>
        </w:rPr>
        <w:t>Алексей Супиченко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подчеркнул, что сегодня законодательство идет по пути минимизаци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>и процедур, необходимых для получения и оформления недвижимости, в частности земельных участков для льготных категорий граждан, а также сокращения сроков подобных процедур при предоставлении земельных участков в собственность, аренду и проведении торгов.</w:t>
      </w:r>
    </w:p>
    <w:p w:rsidR="007A1286" w:rsidRDefault="002E533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630138" name="Picture 3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</w:p>
    <w:p w:rsidR="007A1286" w:rsidRDefault="002E5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7A1286" w:rsidSect="00297895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3C" w:rsidRDefault="002E533C">
      <w:pPr>
        <w:spacing w:after="0" w:line="240" w:lineRule="auto"/>
      </w:pPr>
      <w:r>
        <w:separator/>
      </w:r>
    </w:p>
  </w:endnote>
  <w:endnote w:type="continuationSeparator" w:id="0">
    <w:p w:rsidR="002E533C" w:rsidRDefault="002E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3C" w:rsidRDefault="002E533C">
      <w:pPr>
        <w:spacing w:after="0" w:line="240" w:lineRule="auto"/>
      </w:pPr>
      <w:r>
        <w:separator/>
      </w:r>
    </w:p>
  </w:footnote>
  <w:footnote w:type="continuationSeparator" w:id="0">
    <w:p w:rsidR="002E533C" w:rsidRDefault="002E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2C5D"/>
    <w:multiLevelType w:val="hybridMultilevel"/>
    <w:tmpl w:val="505AED8A"/>
    <w:lvl w:ilvl="0" w:tplc="55F043C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2CADA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8E2BEB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416662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708E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032632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BA64A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8F41E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6C878E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4C73266F"/>
    <w:multiLevelType w:val="hybridMultilevel"/>
    <w:tmpl w:val="3B3A7FD6"/>
    <w:lvl w:ilvl="0" w:tplc="B7D26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09C98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222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2EA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205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881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6F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4A5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1213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B1195E"/>
    <w:multiLevelType w:val="hybridMultilevel"/>
    <w:tmpl w:val="D76E19A2"/>
    <w:lvl w:ilvl="0" w:tplc="CFCEA73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4D3EA64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600D41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27EAB3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A2CABD4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F128AD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A9A378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E0494C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D2243CF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>
    <w:nsid w:val="799A5054"/>
    <w:multiLevelType w:val="hybridMultilevel"/>
    <w:tmpl w:val="F9A26EBA"/>
    <w:lvl w:ilvl="0" w:tplc="77C2F1B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A1E2004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28B0453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F7CA89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EB92DF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9CF030E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DB0E54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A51EEE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386E2B6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86"/>
    <w:rsid w:val="00297895"/>
    <w:rsid w:val="002E533C"/>
    <w:rsid w:val="007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a">
    <w:name w:val="Balloon Text"/>
    <w:basedOn w:val="a"/>
    <w:link w:val="afb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97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a">
    <w:name w:val="Balloon Text"/>
    <w:basedOn w:val="a"/>
    <w:link w:val="afb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97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ublication.pravo.gov.ru/document/0001202506020049?ysclid=mdswxepsjy51035287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osreestr.gov.ru/press/archive/rosreestr-razyasnil-kak-budet-rabotat-zakon-ob-osvoenii-i-ispolzovanii-uchastkov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40</cp:revision>
  <dcterms:created xsi:type="dcterms:W3CDTF">2025-04-09T05:40:00Z</dcterms:created>
  <dcterms:modified xsi:type="dcterms:W3CDTF">2025-10-07T09:40:00Z</dcterms:modified>
</cp:coreProperties>
</file>